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jc w:val="left"/>
        <w:rPr>
          <w:rFonts w:hint="eastAsia" w:ascii="黑体" w:hAnsi="黑体" w:eastAsia="黑体" w:cs="黑体"/>
          <w:color w:val="000000"/>
          <w:kern w:val="0"/>
          <w:sz w:val="32"/>
          <w:szCs w:val="32"/>
          <w:lang w:bidi="ar"/>
        </w:rPr>
      </w:pPr>
      <w:r>
        <w:rPr>
          <w:rFonts w:hint="eastAsia" w:ascii="方正楷体_GBK" w:hAnsi="方正楷体_GBK" w:eastAsia="方正楷体_GBK" w:cs="方正楷体_GBK"/>
          <w:color w:val="000000"/>
          <w:kern w:val="0"/>
          <w:sz w:val="32"/>
          <w:szCs w:val="32"/>
          <w:lang w:bidi="ar"/>
        </w:rPr>
        <w:t>附件7</w:t>
      </w:r>
    </w:p>
    <w:p>
      <w:pPr>
        <w:keepNext/>
        <w:spacing w:after="159" w:afterLines="50" w:line="6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  <w:t>山西新闻奖集纳式作品目录</w:t>
      </w:r>
    </w:p>
    <w:p>
      <w:pPr>
        <w:keepNext/>
        <w:spacing w:after="159" w:afterLines="50" w:line="6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</w:pPr>
    </w:p>
    <w:tbl>
      <w:tblPr>
        <w:tblStyle w:val="2"/>
        <w:tblW w:w="10810" w:type="dxa"/>
        <w:jc w:val="center"/>
        <w:tblBorders>
          <w:top w:val="single" w:color="auto" w:sz="4" w:space="0"/>
          <w:left w:val="single" w:color="auto" w:sz="4" w:space="0"/>
          <w:bottom w:val="none" w:color="auto" w:sz="0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942"/>
        <w:gridCol w:w="2602"/>
        <w:gridCol w:w="849"/>
        <w:gridCol w:w="992"/>
        <w:gridCol w:w="1433"/>
        <w:gridCol w:w="1679"/>
        <w:gridCol w:w="1482"/>
      </w:tblGrid>
      <w:tr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73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作品标题</w:t>
            </w:r>
          </w:p>
        </w:tc>
        <w:tc>
          <w:tcPr>
            <w:tcW w:w="9037" w:type="dxa"/>
            <w:gridSpan w:val="6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ind w:firstLine="56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color w:val="444444"/>
                <w:szCs w:val="21"/>
                <w:shd w:val="clear" w:color="auto" w:fill="FFFFFF"/>
              </w:rPr>
              <w:t>《学习进行时——新修改的代表法》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spacing w:line="34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序号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单篇作品标题</w:t>
            </w: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体裁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字数/时长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刊播日期</w:t>
            </w:r>
          </w:p>
        </w:tc>
        <w:tc>
          <w:tcPr>
            <w:tcW w:w="1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spacing w:line="32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发布端/账号/刊播版面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spacing w:line="32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exact"/>
          <w:jc w:val="center"/>
        </w:trPr>
        <w:tc>
          <w:tcPr>
            <w:tcW w:w="83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学习进行时</w:t>
            </w:r>
            <w:r>
              <w:rPr>
                <w:rFonts w:hint="eastAsia" w:ascii="微软雅黑" w:hAnsi="微软雅黑" w:eastAsia="微软雅黑" w:cs="微软雅黑"/>
                <w:color w:val="444444"/>
                <w:szCs w:val="21"/>
                <w:shd w:val="clear" w:color="auto" w:fill="FFFFFF"/>
              </w:rPr>
              <w:t>①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新修改的代表法之“前世今生”</w:t>
            </w:r>
          </w:p>
        </w:tc>
        <w:tc>
          <w:tcPr>
            <w:tcW w:w="84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2分31秒</w:t>
            </w:r>
          </w:p>
        </w:tc>
        <w:tc>
          <w:tcPr>
            <w:tcW w:w="1433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</w:t>
            </w:r>
            <w:r>
              <w:rPr>
                <w:rFonts w:ascii="宋体" w:hAnsi="宋体" w:cs="宋体"/>
                <w:color w:val="000000"/>
                <w:sz w:val="24"/>
              </w:rPr>
              <w:t>025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年7月3日</w:t>
            </w:r>
          </w:p>
        </w:tc>
        <w:tc>
          <w:tcPr>
            <w:tcW w:w="1679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《人民代表报》视频号</w:t>
            </w:r>
          </w:p>
        </w:tc>
        <w:tc>
          <w:tcPr>
            <w:tcW w:w="148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代表作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exact"/>
          <w:jc w:val="center"/>
        </w:trPr>
        <w:tc>
          <w:tcPr>
            <w:tcW w:w="831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</w:t>
            </w:r>
          </w:p>
        </w:tc>
        <w:tc>
          <w:tcPr>
            <w:tcW w:w="3544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学习进行时</w:t>
            </w:r>
            <w:r>
              <w:rPr>
                <w:rFonts w:hint="eastAsia" w:ascii="微软雅黑" w:hAnsi="微软雅黑" w:eastAsia="微软雅黑" w:cs="微软雅黑"/>
                <w:color w:val="444444"/>
                <w:szCs w:val="21"/>
                <w:shd w:val="clear" w:color="auto" w:fill="FFFFFF"/>
              </w:rPr>
              <w:t>②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新修改的代表法之人大代表是怎样产生的？</w:t>
            </w:r>
          </w:p>
        </w:tc>
        <w:tc>
          <w:tcPr>
            <w:tcW w:w="849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99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1分30秒</w:t>
            </w:r>
          </w:p>
        </w:tc>
        <w:tc>
          <w:tcPr>
            <w:tcW w:w="1433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</w:t>
            </w:r>
            <w:r>
              <w:rPr>
                <w:rFonts w:ascii="宋体" w:hAnsi="宋体" w:cs="宋体"/>
                <w:color w:val="000000"/>
                <w:sz w:val="24"/>
              </w:rPr>
              <w:t>025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年7月7日</w:t>
            </w:r>
          </w:p>
        </w:tc>
        <w:tc>
          <w:tcPr>
            <w:tcW w:w="1679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《人民代表报》视频号</w:t>
            </w:r>
          </w:p>
        </w:tc>
        <w:tc>
          <w:tcPr>
            <w:tcW w:w="148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代表作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exact"/>
          <w:jc w:val="center"/>
        </w:trPr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3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学习进行时</w:t>
            </w:r>
            <w:r>
              <w:rPr>
                <w:rFonts w:hint="eastAsia" w:ascii="微软雅黑" w:hAnsi="微软雅黑" w:eastAsia="微软雅黑" w:cs="微软雅黑"/>
                <w:color w:val="444444"/>
                <w:szCs w:val="21"/>
                <w:shd w:val="clear" w:color="auto" w:fill="FFFFFF"/>
              </w:rPr>
              <w:t>④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新修改的代表法之人大代表的权利和义务</w:t>
            </w: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2分30秒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</w:t>
            </w:r>
            <w:r>
              <w:rPr>
                <w:rFonts w:ascii="宋体" w:hAnsi="宋体" w:cs="宋体"/>
                <w:color w:val="000000"/>
                <w:sz w:val="24"/>
              </w:rPr>
              <w:t>025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年7月14日</w:t>
            </w:r>
          </w:p>
        </w:tc>
        <w:tc>
          <w:tcPr>
            <w:tcW w:w="1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《人民代表报》视频号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代表作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83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4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9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  <w:bookmarkStart w:id="0" w:name="_GoBack"/>
            <w:bookmarkEnd w:id="0"/>
          </w:p>
        </w:tc>
        <w:tc>
          <w:tcPr>
            <w:tcW w:w="1433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79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8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831" w:type="dxa"/>
            <w:noWrap w:val="0"/>
            <w:vAlign w:val="center"/>
          </w:tcPr>
          <w:p>
            <w:pPr>
              <w:keepNext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5</w:t>
            </w: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7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831" w:type="dxa"/>
            <w:noWrap w:val="0"/>
            <w:vAlign w:val="center"/>
          </w:tcPr>
          <w:p>
            <w:pPr>
              <w:keepNext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6</w:t>
            </w: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7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831" w:type="dxa"/>
            <w:noWrap w:val="0"/>
            <w:vAlign w:val="center"/>
          </w:tcPr>
          <w:p>
            <w:pPr>
              <w:keepNext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7</w:t>
            </w: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7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831" w:type="dxa"/>
            <w:noWrap w:val="0"/>
            <w:vAlign w:val="center"/>
          </w:tcPr>
          <w:p>
            <w:pPr>
              <w:keepNext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8</w:t>
            </w: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7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831" w:type="dxa"/>
            <w:noWrap w:val="0"/>
            <w:vAlign w:val="center"/>
          </w:tcPr>
          <w:p>
            <w:pPr>
              <w:keepNext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9</w:t>
            </w: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7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831" w:type="dxa"/>
            <w:noWrap w:val="0"/>
            <w:vAlign w:val="center"/>
          </w:tcPr>
          <w:p>
            <w:pPr>
              <w:keepNext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10</w:t>
            </w: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7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831" w:type="dxa"/>
            <w:noWrap w:val="0"/>
            <w:vAlign w:val="center"/>
          </w:tcPr>
          <w:p>
            <w:pPr>
              <w:keepNext/>
              <w:snapToGrid w:val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11</w:t>
            </w:r>
          </w:p>
        </w:tc>
        <w:tc>
          <w:tcPr>
            <w:tcW w:w="3544" w:type="dxa"/>
            <w:gridSpan w:val="2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99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33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79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keepNext/>
              <w:snapToGrid w:val="0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0810" w:type="dxa"/>
            <w:gridSpan w:val="8"/>
            <w:tcBorders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spacing w:line="360" w:lineRule="exact"/>
              <w:ind w:firstLine="560" w:firstLineChars="200"/>
              <w:rPr>
                <w:rFonts w:ascii="楷体" w:hAnsi="楷体" w:eastAsia="楷体"/>
                <w:color w:val="000000"/>
                <w:sz w:val="28"/>
              </w:rPr>
            </w:pPr>
            <w:r>
              <w:rPr>
                <w:rFonts w:hint="eastAsia" w:ascii="楷体" w:hAnsi="楷体" w:eastAsia="楷体"/>
                <w:color w:val="000000"/>
                <w:sz w:val="28"/>
              </w:rPr>
              <w:t>1.选择集纳式作品中的12件单篇作品填报（少于12篇的填报全部作品），附在参评推荐表后。</w:t>
            </w:r>
          </w:p>
          <w:p>
            <w:pPr>
              <w:spacing w:line="360" w:lineRule="exact"/>
              <w:ind w:firstLine="560" w:firstLineChars="200"/>
              <w:rPr>
                <w:rFonts w:hint="eastAsia" w:ascii="楷体" w:hAnsi="楷体" w:eastAsia="楷体"/>
                <w:color w:val="000000"/>
                <w:sz w:val="28"/>
              </w:rPr>
            </w:pPr>
            <w:r>
              <w:rPr>
                <w:rFonts w:hint="eastAsia" w:ascii="楷体" w:hAnsi="楷体" w:eastAsia="楷体"/>
                <w:color w:val="000000"/>
                <w:sz w:val="28"/>
              </w:rPr>
              <w:t>2.须选择3篇代表作，并在“备注”栏内注明“代表作”字样。</w:t>
            </w:r>
          </w:p>
          <w:p>
            <w:pPr>
              <w:spacing w:line="360" w:lineRule="exact"/>
              <w:ind w:firstLine="560" w:firstLineChars="200"/>
              <w:rPr>
                <w:rFonts w:ascii="楷体" w:hAnsi="楷体" w:eastAsia="楷体"/>
                <w:color w:val="000000"/>
                <w:sz w:val="28"/>
              </w:rPr>
            </w:pPr>
            <w:r>
              <w:rPr>
                <w:rFonts w:hint="eastAsia" w:ascii="楷体" w:hAnsi="楷体" w:eastAsia="楷体"/>
                <w:color w:val="000000"/>
                <w:sz w:val="28"/>
              </w:rPr>
              <w:t>3.填报作品按发表时间排序。</w:t>
            </w:r>
          </w:p>
          <w:p>
            <w:pPr>
              <w:spacing w:line="360" w:lineRule="exact"/>
              <w:ind w:firstLine="560" w:firstLineChars="200"/>
              <w:rPr>
                <w:rFonts w:ascii="楷体" w:hAnsi="楷体" w:eastAsia="楷体"/>
                <w:color w:val="000000"/>
                <w:sz w:val="28"/>
              </w:rPr>
            </w:pPr>
            <w:r>
              <w:rPr>
                <w:rFonts w:hint="eastAsia" w:ascii="楷体" w:hAnsi="楷体" w:eastAsia="楷体"/>
                <w:color w:val="000000"/>
                <w:sz w:val="28"/>
              </w:rPr>
              <w:t>4.文字内容填报字数，音视频内容填报时长。</w:t>
            </w:r>
          </w:p>
          <w:p>
            <w:pPr>
              <w:keepNext/>
              <w:spacing w:line="380" w:lineRule="exact"/>
              <w:ind w:firstLine="560" w:firstLineChars="200"/>
              <w:rPr>
                <w:rFonts w:ascii="楷体" w:hAnsi="楷体" w:eastAsia="楷体"/>
                <w:color w:val="000000"/>
                <w:sz w:val="24"/>
              </w:rPr>
            </w:pPr>
            <w:r>
              <w:rPr>
                <w:rFonts w:hint="eastAsia" w:ascii="楷体" w:hAnsi="楷体" w:eastAsia="楷体"/>
                <w:color w:val="000000"/>
                <w:sz w:val="28"/>
              </w:rPr>
              <w:t>5.广播、电视、新媒体作品在“</w:t>
            </w:r>
            <w:r>
              <w:rPr>
                <w:rFonts w:ascii="楷体" w:hAnsi="楷体" w:eastAsia="楷体"/>
                <w:color w:val="000000"/>
                <w:sz w:val="28"/>
              </w:rPr>
              <w:t>刊播</w:t>
            </w:r>
            <w:r>
              <w:rPr>
                <w:rFonts w:hint="eastAsia" w:ascii="楷体" w:hAnsi="楷体" w:eastAsia="楷体"/>
                <w:color w:val="000000"/>
                <w:sz w:val="28"/>
              </w:rPr>
              <w:t>日期”栏内填报刊播日期及时间；在“刊播版面”栏内填报作品刊播频道、频率、账号和栏目名称。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B74F09"/>
    <w:rsid w:val="63B74F09"/>
    <w:rsid w:val="FF4F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2026-04-14T11:05:00Z</dcterms:created>
  <dc:creator>刺猬的优雅</dc:creator>
  <cp:lastModifiedBy>uos</cp:lastModifiedBy>
  <dcterms:modified xsi:type="dcterms:W3CDTF">2026-04-15T10:18:01Z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  <property fmtid="{D5CDD505-2E9C-101B-9397-08002B2CF9AE}" pid="3" name="ICV">
    <vt:lpwstr>3ADCF5F34DA344D0980C100319E2E282_11</vt:lpwstr>
  </property>
  <property fmtid="{D5CDD505-2E9C-101B-9397-08002B2CF9AE}" pid="4" name="KSOTemplateDocerSaveRecord">
    <vt:lpwstr>eyJoZGlkIjoiZWMwMmU4MDI3MDE5OTY5MGM1OGY1Njg1ZWVjNDRhMzYiLCJ1c2VySWQiOiIyOTc3MTc4MDQifQ==</vt:lpwstr>
  </property>
</Properties>
</file>