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84E623">
      <w:pPr>
        <w:keepNext/>
        <w:jc w:val="left"/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  <w:lang w:bidi="ar"/>
        </w:rPr>
        <w:t>附件6</w:t>
      </w:r>
    </w:p>
    <w:p w14:paraId="52165EF7">
      <w:pPr>
        <w:keepNext/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山西新闻奖参评作品推荐表</w:t>
      </w:r>
    </w:p>
    <w:tbl>
      <w:tblPr>
        <w:tblStyle w:val="2"/>
        <w:tblpPr w:leftFromText="180" w:rightFromText="180" w:vertAnchor="text" w:horzAnchor="page" w:tblpX="1147" w:tblpY="148"/>
        <w:tblOverlap w:val="never"/>
        <w:tblW w:w="981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512"/>
        <w:gridCol w:w="888"/>
        <w:gridCol w:w="1323"/>
        <w:gridCol w:w="1005"/>
        <w:gridCol w:w="872"/>
        <w:gridCol w:w="947"/>
        <w:gridCol w:w="620"/>
        <w:gridCol w:w="1122"/>
        <w:gridCol w:w="1532"/>
      </w:tblGrid>
      <w:tr w14:paraId="4E812F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exact"/>
        </w:trPr>
        <w:tc>
          <w:tcPr>
            <w:tcW w:w="992" w:type="dxa"/>
            <w:noWrap w:val="0"/>
            <w:vAlign w:val="center"/>
          </w:tcPr>
          <w:p w14:paraId="4D19567C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作品</w:t>
            </w:r>
          </w:p>
          <w:p w14:paraId="4486DD6E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标题</w:t>
            </w:r>
          </w:p>
        </w:tc>
        <w:tc>
          <w:tcPr>
            <w:tcW w:w="3728" w:type="dxa"/>
            <w:gridSpan w:val="4"/>
            <w:noWrap w:val="0"/>
            <w:vAlign w:val="center"/>
          </w:tcPr>
          <w:p w14:paraId="0FB32E86">
            <w:pPr>
              <w:spacing w:line="240" w:lineRule="exact"/>
              <w:jc w:val="left"/>
              <w:rPr>
                <w:rFonts w:hint="eastAsia" w:ascii="仿宋" w:hAnsi="仿宋" w:eastAsia="仿宋" w:cs="仿宋"/>
                <w:color w:val="000000"/>
                <w:szCs w:val="15"/>
              </w:rPr>
            </w:pPr>
            <w:r>
              <w:rPr>
                <w:rFonts w:hint="eastAsia" w:ascii="仿宋" w:hAnsi="仿宋" w:eastAsia="仿宋" w:cs="仿宋"/>
                <w:color w:val="000000"/>
                <w:szCs w:val="15"/>
              </w:rPr>
              <w:t>《学习进行时——新修改的代表法》</w:t>
            </w:r>
          </w:p>
        </w:tc>
        <w:tc>
          <w:tcPr>
            <w:tcW w:w="1819" w:type="dxa"/>
            <w:gridSpan w:val="2"/>
            <w:noWrap w:val="0"/>
            <w:vAlign w:val="center"/>
          </w:tcPr>
          <w:p w14:paraId="2B03A23A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参评</w:t>
            </w:r>
          </w:p>
          <w:p w14:paraId="550BB344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项目</w:t>
            </w:r>
          </w:p>
        </w:tc>
        <w:tc>
          <w:tcPr>
            <w:tcW w:w="3274" w:type="dxa"/>
            <w:gridSpan w:val="3"/>
            <w:noWrap w:val="0"/>
            <w:vAlign w:val="center"/>
          </w:tcPr>
          <w:p w14:paraId="05D7E4A0">
            <w:pPr>
              <w:spacing w:line="240" w:lineRule="exact"/>
              <w:rPr>
                <w:rFonts w:hint="eastAsia" w:ascii="仿宋" w:hAnsi="仿宋" w:eastAsia="仿宋" w:cs="仿宋"/>
                <w:color w:val="000000"/>
                <w:szCs w:val="15"/>
              </w:rPr>
            </w:pPr>
            <w:r>
              <w:rPr>
                <w:rFonts w:hint="eastAsia" w:ascii="仿宋" w:hAnsi="仿宋" w:eastAsia="仿宋" w:cs="仿宋"/>
                <w:color w:val="000000"/>
                <w:szCs w:val="15"/>
                <w:lang w:val="en-US" w:eastAsia="zh-CN"/>
              </w:rPr>
              <w:t>专题</w:t>
            </w:r>
          </w:p>
        </w:tc>
      </w:tr>
      <w:tr w14:paraId="390F14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exact"/>
        </w:trPr>
        <w:tc>
          <w:tcPr>
            <w:tcW w:w="992" w:type="dxa"/>
            <w:vMerge w:val="restart"/>
            <w:noWrap w:val="0"/>
            <w:vAlign w:val="center"/>
          </w:tcPr>
          <w:p w14:paraId="6A14A57F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字数</w:t>
            </w:r>
          </w:p>
          <w:p w14:paraId="4F841434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时长</w:t>
            </w:r>
          </w:p>
        </w:tc>
        <w:tc>
          <w:tcPr>
            <w:tcW w:w="3728" w:type="dxa"/>
            <w:gridSpan w:val="4"/>
            <w:vMerge w:val="restart"/>
            <w:noWrap w:val="0"/>
            <w:vAlign w:val="center"/>
          </w:tcPr>
          <w:p w14:paraId="2FA76D93">
            <w:pPr>
              <w:spacing w:line="240" w:lineRule="exact"/>
              <w:rPr>
                <w:rFonts w:hint="default" w:ascii="仿宋" w:hAnsi="仿宋" w:eastAsia="仿宋" w:cs="仿宋"/>
                <w:color w:val="000000"/>
                <w:szCs w:val="15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15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Cs w:val="15"/>
              </w:rPr>
              <w:t>分</w:t>
            </w:r>
            <w:r>
              <w:rPr>
                <w:rFonts w:hint="eastAsia" w:ascii="仿宋" w:hAnsi="仿宋" w:eastAsia="仿宋" w:cs="仿宋"/>
                <w:color w:val="000000"/>
                <w:szCs w:val="15"/>
                <w:lang w:val="en-US" w:eastAsia="zh-CN"/>
              </w:rPr>
              <w:t>36</w:t>
            </w:r>
            <w:r>
              <w:rPr>
                <w:rFonts w:hint="eastAsia" w:ascii="仿宋" w:hAnsi="仿宋" w:eastAsia="仿宋" w:cs="仿宋"/>
                <w:color w:val="000000"/>
                <w:szCs w:val="15"/>
              </w:rPr>
              <w:t>秒</w:t>
            </w:r>
            <w:r>
              <w:rPr>
                <w:rFonts w:ascii="Arial" w:hAnsi="Arial" w:eastAsia="宋体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×</w:t>
            </w:r>
            <w:r>
              <w:rPr>
                <w:rFonts w:hint="eastAsia" w:ascii="仿宋" w:hAnsi="仿宋" w:eastAsia="仿宋" w:cs="仿宋"/>
                <w:color w:val="000000"/>
                <w:szCs w:val="15"/>
                <w:lang w:val="en-US" w:eastAsia="zh-CN"/>
              </w:rPr>
              <w:t>12期</w:t>
            </w:r>
          </w:p>
        </w:tc>
        <w:tc>
          <w:tcPr>
            <w:tcW w:w="1819" w:type="dxa"/>
            <w:gridSpan w:val="2"/>
            <w:noWrap w:val="0"/>
            <w:vAlign w:val="center"/>
          </w:tcPr>
          <w:p w14:paraId="70623CA6">
            <w:pPr>
              <w:spacing w:line="38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体裁</w:t>
            </w:r>
          </w:p>
        </w:tc>
        <w:tc>
          <w:tcPr>
            <w:tcW w:w="3274" w:type="dxa"/>
            <w:gridSpan w:val="3"/>
            <w:noWrap w:val="0"/>
            <w:vAlign w:val="center"/>
          </w:tcPr>
          <w:p w14:paraId="40173A6E">
            <w:pPr>
              <w:spacing w:line="240" w:lineRule="exact"/>
              <w:rPr>
                <w:rFonts w:ascii="仿宋" w:hAnsi="仿宋" w:eastAsia="仿宋" w:cs="仿宋"/>
                <w:color w:val="000000"/>
                <w:szCs w:val="15"/>
              </w:rPr>
            </w:pPr>
          </w:p>
        </w:tc>
      </w:tr>
      <w:tr w14:paraId="3490BB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992" w:type="dxa"/>
            <w:vMerge w:val="continue"/>
            <w:noWrap w:val="0"/>
            <w:vAlign w:val="center"/>
          </w:tcPr>
          <w:p w14:paraId="574C9895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3728" w:type="dxa"/>
            <w:gridSpan w:val="4"/>
            <w:vMerge w:val="continue"/>
            <w:noWrap w:val="0"/>
            <w:vAlign w:val="center"/>
          </w:tcPr>
          <w:p w14:paraId="23F7DC7D">
            <w:pPr>
              <w:spacing w:line="380" w:lineRule="exact"/>
              <w:ind w:firstLine="560"/>
              <w:jc w:val="center"/>
              <w:rPr>
                <w:rFonts w:hint="eastAsia" w:ascii="华文中宋" w:hAnsi="华文中宋" w:eastAsia="华文中宋"/>
                <w:color w:val="000000"/>
                <w:szCs w:val="21"/>
              </w:rPr>
            </w:pPr>
          </w:p>
        </w:tc>
        <w:tc>
          <w:tcPr>
            <w:tcW w:w="1819" w:type="dxa"/>
            <w:gridSpan w:val="2"/>
            <w:noWrap w:val="0"/>
            <w:vAlign w:val="center"/>
          </w:tcPr>
          <w:p w14:paraId="0F7CAEAD">
            <w:pPr>
              <w:spacing w:line="38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语种</w:t>
            </w:r>
          </w:p>
        </w:tc>
        <w:tc>
          <w:tcPr>
            <w:tcW w:w="3274" w:type="dxa"/>
            <w:gridSpan w:val="3"/>
            <w:noWrap w:val="0"/>
            <w:vAlign w:val="center"/>
          </w:tcPr>
          <w:p w14:paraId="1C78ADEB">
            <w:pPr>
              <w:spacing w:line="240" w:lineRule="exact"/>
              <w:rPr>
                <w:rFonts w:hint="eastAsia" w:ascii="仿宋" w:hAnsi="仿宋" w:eastAsia="仿宋" w:cs="仿宋"/>
                <w:color w:val="000000"/>
                <w:szCs w:val="15"/>
              </w:rPr>
            </w:pPr>
          </w:p>
        </w:tc>
      </w:tr>
      <w:tr w14:paraId="15E9C9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992" w:type="dxa"/>
            <w:noWrap w:val="0"/>
            <w:vAlign w:val="center"/>
          </w:tcPr>
          <w:p w14:paraId="01280330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pacing w:val="-12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12"/>
                <w:sz w:val="28"/>
              </w:rPr>
              <w:t>作者</w:t>
            </w:r>
          </w:p>
          <w:p w14:paraId="7567C61A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12"/>
                <w:sz w:val="16"/>
                <w:szCs w:val="16"/>
              </w:rPr>
              <w:t>（主创人员）</w:t>
            </w:r>
          </w:p>
        </w:tc>
        <w:tc>
          <w:tcPr>
            <w:tcW w:w="3728" w:type="dxa"/>
            <w:gridSpan w:val="4"/>
            <w:noWrap w:val="0"/>
            <w:vAlign w:val="center"/>
          </w:tcPr>
          <w:p w14:paraId="198BEF8C">
            <w:pPr>
              <w:spacing w:line="240" w:lineRule="exact"/>
              <w:rPr>
                <w:rFonts w:hint="eastAsia" w:ascii="华文中宋" w:hAnsi="华文中宋" w:eastAsia="华文中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15"/>
              </w:rPr>
              <w:t xml:space="preserve"> 白丹 林娜</w:t>
            </w:r>
          </w:p>
        </w:tc>
        <w:tc>
          <w:tcPr>
            <w:tcW w:w="1819" w:type="dxa"/>
            <w:gridSpan w:val="2"/>
            <w:noWrap w:val="0"/>
            <w:vAlign w:val="center"/>
          </w:tcPr>
          <w:p w14:paraId="206657F4">
            <w:pPr>
              <w:spacing w:line="38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编辑</w:t>
            </w:r>
          </w:p>
        </w:tc>
        <w:tc>
          <w:tcPr>
            <w:tcW w:w="3274" w:type="dxa"/>
            <w:gridSpan w:val="3"/>
            <w:noWrap w:val="0"/>
            <w:vAlign w:val="center"/>
          </w:tcPr>
          <w:p w14:paraId="77A28BB8">
            <w:pPr>
              <w:spacing w:line="240" w:lineRule="exact"/>
              <w:rPr>
                <w:rFonts w:hint="eastAsia" w:ascii="仿宋" w:hAnsi="仿宋" w:eastAsia="仿宋" w:cs="仿宋"/>
                <w:color w:val="000000"/>
                <w:szCs w:val="15"/>
              </w:rPr>
            </w:pPr>
            <w:r>
              <w:rPr>
                <w:rFonts w:hint="eastAsia" w:ascii="仿宋" w:hAnsi="仿宋" w:eastAsia="仿宋" w:cs="仿宋"/>
                <w:color w:val="000000"/>
                <w:szCs w:val="15"/>
              </w:rPr>
              <w:t>白丹 林娜</w:t>
            </w:r>
          </w:p>
        </w:tc>
      </w:tr>
      <w:tr w14:paraId="7F68A6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992" w:type="dxa"/>
            <w:noWrap w:val="0"/>
            <w:vAlign w:val="center"/>
          </w:tcPr>
          <w:p w14:paraId="2B413BFE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原创</w:t>
            </w:r>
          </w:p>
          <w:p w14:paraId="3DC23FBC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单位</w:t>
            </w:r>
          </w:p>
        </w:tc>
        <w:tc>
          <w:tcPr>
            <w:tcW w:w="3728" w:type="dxa"/>
            <w:gridSpan w:val="4"/>
            <w:noWrap w:val="0"/>
            <w:vAlign w:val="center"/>
          </w:tcPr>
          <w:p w14:paraId="5273E1F4">
            <w:pPr>
              <w:spacing w:line="260" w:lineRule="exact"/>
              <w:rPr>
                <w:rFonts w:hint="eastAsia" w:ascii="方正仿宋_GB2312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15"/>
              </w:rPr>
              <w:t>人民代表报社</w:t>
            </w:r>
          </w:p>
        </w:tc>
        <w:tc>
          <w:tcPr>
            <w:tcW w:w="1819" w:type="dxa"/>
            <w:gridSpan w:val="2"/>
            <w:noWrap w:val="0"/>
            <w:vAlign w:val="center"/>
          </w:tcPr>
          <w:p w14:paraId="1336A019">
            <w:pPr>
              <w:spacing w:line="260" w:lineRule="exact"/>
              <w:rPr>
                <w:rFonts w:hint="eastAsia" w:ascii="华文中宋" w:hAnsi="华文中宋" w:eastAsia="华文中宋"/>
                <w:color w:val="000000"/>
                <w:sz w:val="24"/>
                <w:szCs w:val="36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36"/>
              </w:rPr>
              <w:t>发布端/账号/</w:t>
            </w:r>
          </w:p>
          <w:p w14:paraId="53D84B87">
            <w:pPr>
              <w:spacing w:line="260" w:lineRule="exact"/>
              <w:rPr>
                <w:rFonts w:ascii="方正仿宋_GB2312" w:hAnsi="仿宋"/>
                <w:color w:val="000000"/>
                <w:sz w:val="28"/>
                <w:szCs w:val="40"/>
                <w:highlight w:val="green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36"/>
              </w:rPr>
              <w:t>媒体名称</w:t>
            </w:r>
          </w:p>
        </w:tc>
        <w:tc>
          <w:tcPr>
            <w:tcW w:w="3274" w:type="dxa"/>
            <w:gridSpan w:val="3"/>
            <w:noWrap w:val="0"/>
            <w:vAlign w:val="center"/>
          </w:tcPr>
          <w:p w14:paraId="36EF588D">
            <w:pPr>
              <w:spacing w:line="240" w:lineRule="exact"/>
              <w:rPr>
                <w:rFonts w:hint="eastAsia" w:ascii="仿宋" w:hAnsi="仿宋" w:eastAsia="仿宋" w:cs="仿宋"/>
                <w:color w:val="000000"/>
                <w:szCs w:val="15"/>
              </w:rPr>
            </w:pPr>
            <w:r>
              <w:rPr>
                <w:rFonts w:hint="eastAsia" w:ascii="仿宋" w:hAnsi="仿宋" w:eastAsia="仿宋" w:cs="仿宋"/>
                <w:color w:val="000000"/>
                <w:szCs w:val="15"/>
              </w:rPr>
              <w:t>《人民代表报》视频号</w:t>
            </w:r>
          </w:p>
        </w:tc>
      </w:tr>
      <w:tr w14:paraId="546FA1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5" w:hRule="exact"/>
        </w:trPr>
        <w:tc>
          <w:tcPr>
            <w:tcW w:w="1504" w:type="dxa"/>
            <w:gridSpan w:val="2"/>
            <w:noWrap w:val="0"/>
            <w:vAlign w:val="center"/>
          </w:tcPr>
          <w:p w14:paraId="19F0BF2B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刊播版面</w:t>
            </w:r>
          </w:p>
          <w:p w14:paraId="059A7B45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23"/>
                <w:sz w:val="24"/>
                <w:szCs w:val="21"/>
              </w:rPr>
              <w:t>（</w:t>
            </w:r>
            <w:r>
              <w:rPr>
                <w:rFonts w:hint="eastAsia" w:ascii="华文中宋" w:hAnsi="华文中宋" w:eastAsia="华文中宋"/>
                <w:color w:val="000000"/>
                <w:spacing w:val="-23"/>
                <w:sz w:val="22"/>
                <w:szCs w:val="21"/>
              </w:rPr>
              <w:t>名称和版次）</w:t>
            </w:r>
          </w:p>
        </w:tc>
        <w:tc>
          <w:tcPr>
            <w:tcW w:w="3216" w:type="dxa"/>
            <w:gridSpan w:val="3"/>
            <w:noWrap w:val="0"/>
            <w:vAlign w:val="center"/>
          </w:tcPr>
          <w:p w14:paraId="03FA7CF3">
            <w:pPr>
              <w:spacing w:line="260" w:lineRule="exact"/>
              <w:rPr>
                <w:rFonts w:hint="eastAsia" w:ascii="方正仿宋_GB2312" w:hAnsi="仿宋"/>
                <w:color w:val="000000"/>
                <w:szCs w:val="21"/>
              </w:rPr>
            </w:pPr>
          </w:p>
        </w:tc>
        <w:tc>
          <w:tcPr>
            <w:tcW w:w="872" w:type="dxa"/>
            <w:noWrap w:val="0"/>
            <w:vAlign w:val="center"/>
          </w:tcPr>
          <w:p w14:paraId="1C9FAE08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发布日期</w:t>
            </w:r>
          </w:p>
        </w:tc>
        <w:tc>
          <w:tcPr>
            <w:tcW w:w="4221" w:type="dxa"/>
            <w:gridSpan w:val="4"/>
            <w:noWrap w:val="0"/>
            <w:vAlign w:val="center"/>
          </w:tcPr>
          <w:p w14:paraId="036D6082">
            <w:pPr>
              <w:spacing w:line="260" w:lineRule="exact"/>
              <w:rPr>
                <w:rFonts w:ascii="方正仿宋_GB2312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15"/>
              </w:rPr>
              <w:t>2</w:t>
            </w:r>
            <w:r>
              <w:rPr>
                <w:rFonts w:ascii="仿宋" w:hAnsi="仿宋" w:eastAsia="仿宋" w:cs="仿宋"/>
                <w:color w:val="000000"/>
                <w:szCs w:val="15"/>
              </w:rPr>
              <w:t>025</w:t>
            </w:r>
            <w:r>
              <w:rPr>
                <w:rFonts w:hint="eastAsia" w:ascii="仿宋" w:hAnsi="仿宋" w:eastAsia="仿宋" w:cs="仿宋"/>
                <w:color w:val="000000"/>
                <w:szCs w:val="15"/>
              </w:rPr>
              <w:t>年</w:t>
            </w:r>
            <w:r>
              <w:rPr>
                <w:rFonts w:ascii="仿宋" w:hAnsi="仿宋" w:eastAsia="仿宋" w:cs="仿宋"/>
                <w:color w:val="000000"/>
                <w:szCs w:val="15"/>
              </w:rPr>
              <w:t>7</w:t>
            </w:r>
            <w:r>
              <w:rPr>
                <w:rFonts w:hint="eastAsia" w:ascii="仿宋" w:hAnsi="仿宋" w:eastAsia="仿宋" w:cs="仿宋"/>
                <w:color w:val="000000"/>
                <w:szCs w:val="15"/>
              </w:rPr>
              <w:t>月3日—2025年8月11日</w:t>
            </w:r>
          </w:p>
        </w:tc>
      </w:tr>
      <w:tr w14:paraId="62206C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504" w:type="dxa"/>
            <w:gridSpan w:val="2"/>
            <w:noWrap w:val="0"/>
            <w:vAlign w:val="center"/>
          </w:tcPr>
          <w:p w14:paraId="14F92EE8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4"/>
                <w:szCs w:val="21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1"/>
              </w:rPr>
              <w:t>新媒体</w:t>
            </w:r>
            <w:r>
              <w:rPr>
                <w:rFonts w:ascii="华文中宋" w:hAnsi="华文中宋" w:eastAsia="华文中宋"/>
                <w:color w:val="000000"/>
                <w:sz w:val="24"/>
                <w:szCs w:val="21"/>
              </w:rPr>
              <w:t>作品</w:t>
            </w:r>
          </w:p>
          <w:p w14:paraId="00C0CC62">
            <w:pPr>
              <w:spacing w:line="320" w:lineRule="exact"/>
              <w:jc w:val="center"/>
              <w:rPr>
                <w:rFonts w:hint="eastAsia" w:ascii="方正仿宋_GB2312" w:hAnsi="仿宋" w:eastAsia="华文中宋"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1"/>
              </w:rPr>
              <w:t>链接</w:t>
            </w:r>
          </w:p>
        </w:tc>
        <w:tc>
          <w:tcPr>
            <w:tcW w:w="5035" w:type="dxa"/>
            <w:gridSpan w:val="5"/>
            <w:noWrap w:val="0"/>
            <w:vAlign w:val="center"/>
          </w:tcPr>
          <w:p w14:paraId="3B7CA4A9">
            <w:pPr>
              <w:spacing w:line="240" w:lineRule="auto"/>
              <w:rPr>
                <w:rFonts w:hint="eastAsia" w:ascii="方正仿宋_GB2312" w:hAnsi="仿宋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方正仿宋_GB2312" w:hAnsi="仿宋"/>
                <w:color w:val="000000"/>
                <w:szCs w:val="21"/>
              </w:rPr>
              <w:fldChar w:fldCharType="begin"/>
            </w:r>
            <w:r>
              <w:rPr>
                <w:rFonts w:hint="eastAsia" w:ascii="方正仿宋_GB2312" w:hAnsi="仿宋"/>
                <w:color w:val="000000"/>
                <w:szCs w:val="21"/>
              </w:rPr>
              <w:instrText xml:space="preserve"> HYPERLINK "https://weixin.qq.com/sph/AyTmONvrK" </w:instrText>
            </w:r>
            <w:r>
              <w:rPr>
                <w:rFonts w:hint="eastAsia" w:ascii="方正仿宋_GB2312" w:hAnsi="仿宋"/>
                <w:color w:val="000000"/>
                <w:szCs w:val="21"/>
              </w:rPr>
              <w:fldChar w:fldCharType="separate"/>
            </w:r>
            <w:r>
              <w:rPr>
                <w:rStyle w:val="4"/>
                <w:rFonts w:hint="eastAsia" w:ascii="方正仿宋_GB2312" w:hAnsi="仿宋"/>
                <w:szCs w:val="21"/>
              </w:rPr>
              <w:t>https://weixin.qq.com/sph/AyTmONvrK</w:t>
            </w:r>
            <w:r>
              <w:rPr>
                <w:rFonts w:hint="eastAsia" w:ascii="方正仿宋_GB2312" w:hAnsi="仿宋"/>
                <w:color w:val="000000"/>
                <w:szCs w:val="21"/>
              </w:rPr>
              <w:fldChar w:fldCharType="end"/>
            </w:r>
            <w:r>
              <w:rPr>
                <w:rFonts w:hint="eastAsia" w:ascii="方正仿宋_GB2312" w:hAnsi="仿宋" w:eastAsia="宋体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080135" cy="1049655"/>
                  <wp:effectExtent l="0" t="0" r="5715" b="17145"/>
                  <wp:docPr id="1" name="图片 1" descr="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0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26859" t="30487" r="27089" b="315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1049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A1596B">
            <w:pPr>
              <w:spacing w:line="260" w:lineRule="exact"/>
              <w:rPr>
                <w:rFonts w:hint="eastAsia" w:ascii="方正仿宋_GB2312" w:hAnsi="仿宋"/>
                <w:color w:val="000000"/>
                <w:szCs w:val="21"/>
              </w:rPr>
            </w:pPr>
            <w:r>
              <w:rPr>
                <w:rFonts w:hint="eastAsia" w:ascii="方正仿宋_GB2312" w:hAnsi="仿宋"/>
                <w:color w:val="000000"/>
                <w:szCs w:val="21"/>
              </w:rPr>
              <w:fldChar w:fldCharType="begin"/>
            </w:r>
            <w:r>
              <w:rPr>
                <w:rFonts w:hint="eastAsia" w:ascii="方正仿宋_GB2312" w:hAnsi="仿宋"/>
                <w:color w:val="000000"/>
                <w:szCs w:val="21"/>
              </w:rPr>
              <w:instrText xml:space="preserve"> HYPERLINK "https://weixin.qq.com/sph/AGhOIivQr" </w:instrText>
            </w:r>
            <w:r>
              <w:rPr>
                <w:rFonts w:hint="eastAsia" w:ascii="方正仿宋_GB2312" w:hAnsi="仿宋"/>
                <w:color w:val="000000"/>
                <w:szCs w:val="21"/>
              </w:rPr>
              <w:fldChar w:fldCharType="separate"/>
            </w:r>
            <w:r>
              <w:rPr>
                <w:rStyle w:val="4"/>
                <w:rFonts w:hint="eastAsia" w:ascii="方正仿宋_GB2312" w:hAnsi="仿宋"/>
                <w:szCs w:val="21"/>
              </w:rPr>
              <w:t>https://weixin.qq.com/sph/AGhOIivQr</w:t>
            </w:r>
            <w:r>
              <w:rPr>
                <w:rFonts w:hint="eastAsia" w:ascii="方正仿宋_GB2312" w:hAnsi="仿宋"/>
                <w:color w:val="000000"/>
                <w:szCs w:val="21"/>
              </w:rPr>
              <w:fldChar w:fldCharType="end"/>
            </w:r>
          </w:p>
          <w:p w14:paraId="2194DDE5">
            <w:pPr>
              <w:spacing w:line="240" w:lineRule="auto"/>
              <w:rPr>
                <w:rFonts w:hint="eastAsia" w:ascii="方正仿宋_GB2312" w:hAnsi="仿宋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方正仿宋_GB2312" w:hAnsi="仿宋" w:eastAsia="宋体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080135" cy="1061720"/>
                  <wp:effectExtent l="0" t="0" r="5715" b="5080"/>
                  <wp:docPr id="3" name="图片 3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0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l="27172" t="30310" r="26775" b="313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1061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F44A14">
            <w:pPr>
              <w:spacing w:line="260" w:lineRule="exact"/>
              <w:rPr>
                <w:rFonts w:hint="eastAsia" w:ascii="方正仿宋_GB2312" w:hAnsi="仿宋"/>
                <w:color w:val="000000"/>
                <w:szCs w:val="21"/>
              </w:rPr>
            </w:pPr>
            <w:r>
              <w:rPr>
                <w:rFonts w:hint="eastAsia" w:ascii="方正仿宋_GB2312" w:hAnsi="仿宋"/>
                <w:color w:val="000000"/>
                <w:szCs w:val="21"/>
              </w:rPr>
              <w:fldChar w:fldCharType="begin"/>
            </w:r>
            <w:r>
              <w:rPr>
                <w:rFonts w:hint="eastAsia" w:ascii="方正仿宋_GB2312" w:hAnsi="仿宋"/>
                <w:color w:val="000000"/>
                <w:szCs w:val="21"/>
              </w:rPr>
              <w:instrText xml:space="preserve"> HYPERLINK "https://weixin.qq.com/sph/Alu4GlCVs" </w:instrText>
            </w:r>
            <w:r>
              <w:rPr>
                <w:rFonts w:hint="eastAsia" w:ascii="方正仿宋_GB2312" w:hAnsi="仿宋"/>
                <w:color w:val="000000"/>
                <w:szCs w:val="21"/>
              </w:rPr>
              <w:fldChar w:fldCharType="separate"/>
            </w:r>
            <w:r>
              <w:rPr>
                <w:rStyle w:val="4"/>
                <w:rFonts w:hint="eastAsia" w:ascii="方正仿宋_GB2312" w:hAnsi="仿宋"/>
                <w:szCs w:val="21"/>
              </w:rPr>
              <w:t>https://weixin.qq.com/sph/Alu4GlCVs</w:t>
            </w:r>
            <w:r>
              <w:rPr>
                <w:rFonts w:hint="eastAsia" w:ascii="方正仿宋_GB2312" w:hAnsi="仿宋"/>
                <w:color w:val="000000"/>
                <w:szCs w:val="21"/>
              </w:rPr>
              <w:fldChar w:fldCharType="end"/>
            </w:r>
          </w:p>
          <w:p w14:paraId="15D9BA67">
            <w:pPr>
              <w:spacing w:line="240" w:lineRule="auto"/>
              <w:rPr>
                <w:rFonts w:hint="eastAsia" w:ascii="方正仿宋_GB2312" w:hAnsi="仿宋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方正仿宋_GB2312" w:hAnsi="仿宋" w:eastAsia="宋体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080135" cy="1089025"/>
                  <wp:effectExtent l="0" t="0" r="5715" b="15875"/>
                  <wp:docPr id="4" name="图片 4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0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l="27172" t="30133" r="27402" b="310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1089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gridSpan w:val="2"/>
            <w:noWrap w:val="0"/>
            <w:vAlign w:val="center"/>
          </w:tcPr>
          <w:p w14:paraId="0E2CC334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2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0"/>
              </w:rPr>
              <w:t>是</w:t>
            </w:r>
            <w:r>
              <w:rPr>
                <w:rFonts w:hint="eastAsia" w:ascii="华文中宋" w:hAnsi="华文中宋" w:eastAsia="华文中宋"/>
                <w:color w:val="000000"/>
                <w:sz w:val="22"/>
                <w:szCs w:val="20"/>
              </w:rPr>
              <w:t>否为</w:t>
            </w:r>
          </w:p>
          <w:p w14:paraId="6336F3E0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4"/>
                <w:szCs w:val="21"/>
              </w:rPr>
            </w:pPr>
            <w:r>
              <w:rPr>
                <w:rFonts w:hint="eastAsia" w:ascii="华文中宋" w:hAnsi="华文中宋" w:eastAsia="华文中宋"/>
                <w:color w:val="000000"/>
                <w:sz w:val="22"/>
                <w:szCs w:val="20"/>
              </w:rPr>
              <w:t>“三好作品”</w:t>
            </w:r>
          </w:p>
        </w:tc>
        <w:tc>
          <w:tcPr>
            <w:tcW w:w="1532" w:type="dxa"/>
            <w:noWrap w:val="0"/>
            <w:vAlign w:val="center"/>
          </w:tcPr>
          <w:p w14:paraId="6C60D9CD">
            <w:pPr>
              <w:spacing w:line="260" w:lineRule="exact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仿宋" w:hAnsi="仿宋" w:eastAsia="仿宋" w:cs="仿宋"/>
                <w:color w:val="000000"/>
                <w:szCs w:val="15"/>
              </w:rPr>
              <w:t>否</w:t>
            </w:r>
          </w:p>
        </w:tc>
      </w:tr>
      <w:tr w14:paraId="576026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0" w:hRule="atLeast"/>
        </w:trPr>
        <w:tc>
          <w:tcPr>
            <w:tcW w:w="992" w:type="dxa"/>
            <w:noWrap w:val="0"/>
            <w:vAlign w:val="center"/>
          </w:tcPr>
          <w:p w14:paraId="4EE1B5D1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  <w:t>作</w:t>
            </w:r>
          </w:p>
          <w:p w14:paraId="7AB81651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  <w:t>品</w:t>
            </w:r>
          </w:p>
          <w:p w14:paraId="47686EF9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  <w:t>简</w:t>
            </w:r>
          </w:p>
          <w:p w14:paraId="232BEA85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  <w:t>介</w:t>
            </w:r>
          </w:p>
        </w:tc>
        <w:tc>
          <w:tcPr>
            <w:tcW w:w="8821" w:type="dxa"/>
            <w:gridSpan w:val="9"/>
            <w:noWrap w:val="0"/>
            <w:vAlign w:val="center"/>
          </w:tcPr>
          <w:p w14:paraId="7DF8A2A7">
            <w:pPr>
              <w:ind w:firstLine="420" w:firstLineChars="200"/>
              <w:rPr>
                <w:rFonts w:hint="eastAsia" w:ascii="仿宋" w:hAnsi="仿宋" w:eastAsia="仿宋"/>
                <w:color w:val="000000"/>
                <w:w w:val="95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2025年3月11日，第十四届全国人大三次会议表决通过关于修改《代表法》的决定。以此为大背景，人民代表报社推出作品《学习进行时——新修改的代表法》，共1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期，以主持人出镜讲解搭配动画元素的视频形式，深入浅出地梳理了代表法自1992年颁布至今的“前世今生”与发展历程。采编制作方面，报社迅速组建视频团队，重点呈现本次38处修改要点，采用时间轴动画展示法律演进脉络，以图表等动画形式对比新旧条款，确保严谨性与可视性统一。传播效果上，视频通过全媒体平台等渠道发布，总播放量超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万次，被多地人大官网及主流媒体转载。社会效果方面，该视频有效帮助代表和公众理解代表法历史脉络与2025年新修改内容，视频中反映的履职案例推动部分地方完善代表联络机制，代表反馈“形式生动、解渴管用”，切实增强了人民代表大会制度的传播力与认同感。</w:t>
            </w:r>
          </w:p>
        </w:tc>
      </w:tr>
      <w:tr w14:paraId="2187C0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exact"/>
        </w:trPr>
        <w:tc>
          <w:tcPr>
            <w:tcW w:w="992" w:type="dxa"/>
            <w:vMerge w:val="restart"/>
            <w:noWrap w:val="0"/>
            <w:vAlign w:val="center"/>
          </w:tcPr>
          <w:p w14:paraId="5168A5A1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  <w:t>传</w:t>
            </w:r>
          </w:p>
          <w:p w14:paraId="38D9A63E"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  <w:t>播</w:t>
            </w:r>
          </w:p>
          <w:p w14:paraId="546EDA13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  <w:t>数</w:t>
            </w:r>
          </w:p>
          <w:p w14:paraId="5EF22BA7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2"/>
              </w:rPr>
              <w:t>据</w:t>
            </w:r>
          </w:p>
        </w:tc>
        <w:tc>
          <w:tcPr>
            <w:tcW w:w="1400" w:type="dxa"/>
            <w:gridSpan w:val="2"/>
            <w:noWrap w:val="0"/>
            <w:vAlign w:val="center"/>
          </w:tcPr>
          <w:p w14:paraId="3866552D">
            <w:pPr>
              <w:spacing w:line="300" w:lineRule="exact"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1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pacing w:val="-10"/>
                <w:sz w:val="24"/>
                <w:szCs w:val="18"/>
              </w:rPr>
              <w:t>全网传播量最高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18"/>
              </w:rPr>
              <w:t>平台</w:t>
            </w:r>
          </w:p>
          <w:p w14:paraId="265B8D59">
            <w:pPr>
              <w:spacing w:line="300" w:lineRule="exact"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1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18"/>
              </w:rPr>
              <w:t>发布链接</w:t>
            </w:r>
          </w:p>
        </w:tc>
        <w:tc>
          <w:tcPr>
            <w:tcW w:w="7421" w:type="dxa"/>
            <w:gridSpan w:val="7"/>
            <w:noWrap w:val="0"/>
            <w:vAlign w:val="center"/>
          </w:tcPr>
          <w:p w14:paraId="29F6340F">
            <w:pPr>
              <w:spacing w:line="260" w:lineRule="exact"/>
              <w:rPr>
                <w:rFonts w:hint="eastAsia" w:ascii="方正仿宋_GB2312" w:hAnsi="仿宋"/>
                <w:color w:val="000000"/>
                <w:szCs w:val="21"/>
              </w:rPr>
            </w:pPr>
            <w:r>
              <w:rPr>
                <w:rFonts w:hint="eastAsia" w:ascii="方正仿宋_GB2312" w:hAnsi="仿宋"/>
                <w:color w:val="000000"/>
                <w:szCs w:val="21"/>
              </w:rPr>
              <w:fldChar w:fldCharType="begin"/>
            </w:r>
            <w:r>
              <w:rPr>
                <w:rFonts w:hint="eastAsia" w:ascii="方正仿宋_GB2312" w:hAnsi="仿宋"/>
                <w:color w:val="000000"/>
                <w:szCs w:val="21"/>
              </w:rPr>
              <w:instrText xml:space="preserve"> HYPERLINK "https://weixin.qq.com/sph/AGhOIivQr" </w:instrText>
            </w:r>
            <w:r>
              <w:rPr>
                <w:rFonts w:hint="eastAsia" w:ascii="方正仿宋_GB2312" w:hAnsi="仿宋"/>
                <w:color w:val="000000"/>
                <w:szCs w:val="21"/>
              </w:rPr>
              <w:fldChar w:fldCharType="separate"/>
            </w:r>
            <w:r>
              <w:rPr>
                <w:rStyle w:val="4"/>
                <w:rFonts w:hint="eastAsia" w:ascii="方正仿宋_GB2312" w:hAnsi="仿宋"/>
                <w:szCs w:val="21"/>
              </w:rPr>
              <w:t>https://weixin.qq.com/sph/AGhOIivQr</w:t>
            </w:r>
            <w:r>
              <w:rPr>
                <w:rFonts w:hint="eastAsia" w:ascii="方正仿宋_GB2312" w:hAnsi="仿宋"/>
                <w:color w:val="000000"/>
                <w:szCs w:val="21"/>
              </w:rPr>
              <w:fldChar w:fldCharType="end"/>
            </w:r>
          </w:p>
          <w:p w14:paraId="230B585A">
            <w:pPr>
              <w:spacing w:line="280" w:lineRule="exact"/>
              <w:rPr>
                <w:rFonts w:hint="eastAsia" w:ascii="仿宋" w:hAnsi="仿宋" w:eastAsia="仿宋"/>
                <w:color w:val="000000"/>
                <w:szCs w:val="21"/>
              </w:rPr>
            </w:pPr>
          </w:p>
        </w:tc>
      </w:tr>
      <w:tr w14:paraId="0C57FB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992" w:type="dxa"/>
            <w:vMerge w:val="continue"/>
            <w:noWrap w:val="0"/>
            <w:vAlign w:val="center"/>
          </w:tcPr>
          <w:p w14:paraId="43CC4040"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1400" w:type="dxa"/>
            <w:gridSpan w:val="2"/>
            <w:noWrap w:val="0"/>
            <w:vAlign w:val="center"/>
          </w:tcPr>
          <w:p w14:paraId="3B8DB4AF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Cs w:val="21"/>
              </w:rPr>
              <w:t>该平台</w:t>
            </w:r>
          </w:p>
          <w:p w14:paraId="42BE7CDF">
            <w:pPr>
              <w:spacing w:line="240" w:lineRule="exact"/>
              <w:jc w:val="center"/>
              <w:rPr>
                <w:rFonts w:ascii="仿宋" w:hAnsi="仿宋" w:eastAsia="楷体"/>
                <w:color w:val="00000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Cs w:val="21"/>
              </w:rPr>
              <w:t>传播量</w:t>
            </w:r>
          </w:p>
        </w:tc>
        <w:tc>
          <w:tcPr>
            <w:tcW w:w="1323" w:type="dxa"/>
            <w:noWrap w:val="0"/>
            <w:vAlign w:val="center"/>
          </w:tcPr>
          <w:p w14:paraId="59882D15">
            <w:pPr>
              <w:spacing w:line="240" w:lineRule="exact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48000</w:t>
            </w:r>
          </w:p>
        </w:tc>
        <w:tc>
          <w:tcPr>
            <w:tcW w:w="1005" w:type="dxa"/>
            <w:noWrap w:val="0"/>
            <w:vAlign w:val="center"/>
          </w:tcPr>
          <w:p w14:paraId="5C2F7EA6">
            <w:pPr>
              <w:spacing w:line="240" w:lineRule="exact"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Cs w:val="21"/>
              </w:rPr>
              <w:t>该平台</w:t>
            </w:r>
          </w:p>
          <w:p w14:paraId="04BC7B89">
            <w:pPr>
              <w:spacing w:line="240" w:lineRule="exact"/>
              <w:jc w:val="center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Cs w:val="21"/>
              </w:rPr>
              <w:t>互动量</w:t>
            </w:r>
          </w:p>
        </w:tc>
        <w:tc>
          <w:tcPr>
            <w:tcW w:w="2439" w:type="dxa"/>
            <w:gridSpan w:val="3"/>
            <w:noWrap w:val="0"/>
            <w:vAlign w:val="center"/>
          </w:tcPr>
          <w:p w14:paraId="3641064E">
            <w:pPr>
              <w:spacing w:line="240" w:lineRule="exact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5000</w:t>
            </w:r>
          </w:p>
        </w:tc>
        <w:tc>
          <w:tcPr>
            <w:tcW w:w="1122" w:type="dxa"/>
            <w:noWrap w:val="0"/>
            <w:vAlign w:val="center"/>
          </w:tcPr>
          <w:p w14:paraId="4A9145C7">
            <w:pPr>
              <w:spacing w:line="240" w:lineRule="exact"/>
              <w:rPr>
                <w:rFonts w:hint="eastAsia" w:ascii="仿宋" w:hAnsi="仿宋" w:eastAsia="仿宋"/>
                <w:color w:val="00000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Cs w:val="21"/>
              </w:rPr>
              <w:t>全网总传播量（万）</w:t>
            </w:r>
          </w:p>
        </w:tc>
        <w:tc>
          <w:tcPr>
            <w:tcW w:w="1532" w:type="dxa"/>
            <w:noWrap w:val="0"/>
            <w:vAlign w:val="center"/>
          </w:tcPr>
          <w:p w14:paraId="7900D05C">
            <w:pPr>
              <w:spacing w:line="240" w:lineRule="exact"/>
              <w:rPr>
                <w:rFonts w:hint="default" w:ascii="仿宋" w:hAnsi="仿宋" w:eastAsia="仿宋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  <w:lang w:val="en-US" w:eastAsia="zh-CN"/>
              </w:rPr>
              <w:t>60500</w:t>
            </w:r>
          </w:p>
        </w:tc>
      </w:tr>
      <w:tr w14:paraId="542F65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7" w:hRule="exact"/>
        </w:trPr>
        <w:tc>
          <w:tcPr>
            <w:tcW w:w="992" w:type="dxa"/>
            <w:noWrap w:val="0"/>
            <w:vAlign w:val="center"/>
          </w:tcPr>
          <w:p w14:paraId="3641FAC0">
            <w:pPr>
              <w:spacing w:line="320" w:lineRule="exact"/>
              <w:jc w:val="center"/>
              <w:rPr>
                <w:rFonts w:ascii="华文中宋" w:hAnsi="华文中宋" w:eastAsia="华文中宋"/>
                <w:sz w:val="28"/>
              </w:rPr>
            </w:pPr>
            <w:r>
              <w:rPr>
                <w:rFonts w:hint="eastAsia" w:ascii="华文中宋" w:hAnsi="华文中宋" w:eastAsia="华文中宋"/>
                <w:sz w:val="28"/>
              </w:rPr>
              <w:t xml:space="preserve">  ︵</w:t>
            </w:r>
          </w:p>
          <w:p w14:paraId="4643C321">
            <w:pPr>
              <w:spacing w:line="320" w:lineRule="exact"/>
              <w:jc w:val="center"/>
              <w:rPr>
                <w:rFonts w:hint="eastAsia" w:ascii="华文中宋" w:hAnsi="华文中宋" w:eastAsia="华文中宋"/>
                <w:sz w:val="28"/>
              </w:rPr>
            </w:pPr>
            <w:r>
              <w:rPr>
                <w:rFonts w:hint="eastAsia" w:ascii="华文中宋" w:hAnsi="华文中宋" w:eastAsia="华文中宋"/>
                <w:sz w:val="28"/>
              </w:rPr>
              <w:t>初推</w:t>
            </w:r>
          </w:p>
          <w:p w14:paraId="68B6C624">
            <w:pPr>
              <w:spacing w:line="320" w:lineRule="exact"/>
              <w:jc w:val="center"/>
              <w:rPr>
                <w:rFonts w:hint="eastAsia" w:ascii="华文中宋" w:hAnsi="华文中宋" w:eastAsia="华文中宋"/>
                <w:sz w:val="28"/>
              </w:rPr>
            </w:pPr>
            <w:r>
              <w:rPr>
                <w:rFonts w:hint="eastAsia" w:ascii="华文中宋" w:hAnsi="华文中宋" w:eastAsia="华文中宋"/>
                <w:sz w:val="28"/>
              </w:rPr>
              <w:t>评荐</w:t>
            </w:r>
          </w:p>
          <w:p w14:paraId="6F2EDAD1">
            <w:pPr>
              <w:spacing w:line="320" w:lineRule="exact"/>
              <w:jc w:val="center"/>
              <w:rPr>
                <w:rFonts w:hint="eastAsia" w:ascii="华文中宋" w:hAnsi="华文中宋" w:eastAsia="华文中宋"/>
                <w:sz w:val="28"/>
              </w:rPr>
            </w:pPr>
            <w:r>
              <w:rPr>
                <w:rFonts w:hint="eastAsia" w:ascii="华文中宋" w:hAnsi="华文中宋" w:eastAsia="华文中宋"/>
                <w:sz w:val="28"/>
              </w:rPr>
              <w:t>评理</w:t>
            </w:r>
          </w:p>
          <w:p w14:paraId="6644C76A">
            <w:pPr>
              <w:spacing w:line="320" w:lineRule="exact"/>
              <w:jc w:val="center"/>
              <w:rPr>
                <w:rFonts w:hint="eastAsia" w:ascii="华文中宋" w:hAnsi="华文中宋" w:eastAsia="华文中宋"/>
                <w:sz w:val="28"/>
              </w:rPr>
            </w:pPr>
            <w:r>
              <w:rPr>
                <w:rFonts w:hint="eastAsia" w:ascii="华文中宋" w:hAnsi="华文中宋" w:eastAsia="华文中宋"/>
                <w:sz w:val="28"/>
              </w:rPr>
              <w:t>语由</w:t>
            </w:r>
          </w:p>
          <w:p w14:paraId="55C54A26">
            <w:pPr>
              <w:spacing w:line="2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sz w:val="28"/>
              </w:rPr>
              <w:t xml:space="preserve">  ︶</w:t>
            </w:r>
          </w:p>
        </w:tc>
        <w:tc>
          <w:tcPr>
            <w:tcW w:w="8821" w:type="dxa"/>
            <w:gridSpan w:val="9"/>
            <w:noWrap w:val="0"/>
            <w:vAlign w:val="center"/>
          </w:tcPr>
          <w:p w14:paraId="7F3042BF">
            <w:pPr>
              <w:rPr>
                <w:rFonts w:hint="eastAsia" w:ascii="仿宋" w:hAnsi="仿宋" w:eastAsia="仿宋" w:cs="仿宋"/>
                <w:color w:val="000000"/>
                <w:szCs w:val="21"/>
                <w:lang w:bidi="ar"/>
              </w:rPr>
            </w:pPr>
          </w:p>
          <w:p w14:paraId="70E44689">
            <w:pPr>
              <w:spacing w:line="240" w:lineRule="exact"/>
              <w:ind w:firstLine="420" w:firstLineChars="200"/>
              <w:rPr>
                <w:rFonts w:hint="eastAsia" w:ascii="华文中宋" w:hAnsi="华文中宋" w:eastAsia="华文中宋"/>
                <w:color w:val="000000"/>
                <w:spacing w:val="-2"/>
                <w:sz w:val="28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该作品紧扣2025年代表法修改的时代命题，以1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期系列视频构建起法律演进的视听编年史。内容上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szCs w:val="21"/>
              </w:rPr>
              <w:t>将38处修改要点置于30余年制度脉络中深度解码；形式上首创“主持人讲解+动画叙事”的语态，实现法条严谨性与传播可视性的美学统一。作品一经发布即形成“转载学习”现象，全网播放量超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万次，获多地人大官网及主流媒体矩阵式转发，有力提升了根本政治制度的公众认知与情感认同，堪称立法主题宣传的破圈之作。</w:t>
            </w:r>
            <w:r>
              <w:rPr>
                <w:rFonts w:hint="eastAsia" w:ascii="华文中宋" w:hAnsi="华文中宋" w:eastAsia="华文中宋"/>
                <w:color w:val="000000"/>
                <w:spacing w:val="-2"/>
                <w:sz w:val="28"/>
              </w:rPr>
              <w:t xml:space="preserve">                      </w:t>
            </w:r>
          </w:p>
          <w:p w14:paraId="4AF99A70">
            <w:pPr>
              <w:spacing w:line="360" w:lineRule="exact"/>
              <w:rPr>
                <w:rFonts w:hint="eastAsia"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2"/>
                <w:sz w:val="28"/>
              </w:rPr>
              <w:t xml:space="preserve">                           签名</w:t>
            </w: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（盖单位公章）</w:t>
            </w:r>
            <w:r>
              <w:rPr>
                <w:rFonts w:hint="eastAsia" w:ascii="华文中宋" w:hAnsi="华文中宋" w:eastAsia="华文中宋"/>
                <w:color w:val="000000"/>
                <w:spacing w:val="-2"/>
                <w:sz w:val="28"/>
              </w:rPr>
              <w:t>：</w:t>
            </w:r>
          </w:p>
          <w:p w14:paraId="236675BF">
            <w:pPr>
              <w:rPr>
                <w:rFonts w:hint="eastAsia" w:ascii="仿宋" w:hAnsi="仿宋" w:eastAsia="仿宋"/>
                <w:color w:val="000000"/>
                <w:szCs w:val="21"/>
              </w:rPr>
            </w:pPr>
            <w:r>
              <w:rPr>
                <w:rFonts w:hint="eastAsia" w:ascii="方正仿宋_GB2312"/>
                <w:color w:val="000000"/>
                <w:sz w:val="28"/>
              </w:rPr>
              <w:t xml:space="preserve">                                              </w:t>
            </w:r>
            <w:r>
              <w:rPr>
                <w:rFonts w:ascii="华文中宋" w:hAnsi="华文中宋" w:eastAsia="华文中宋"/>
                <w:color w:val="000000"/>
                <w:sz w:val="28"/>
              </w:rPr>
              <w:t xml:space="preserve">年  </w:t>
            </w: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月</w:t>
            </w:r>
            <w:r>
              <w:rPr>
                <w:rFonts w:ascii="华文中宋" w:hAnsi="华文中宋" w:eastAsia="华文中宋"/>
                <w:color w:val="000000"/>
                <w:sz w:val="28"/>
              </w:rPr>
              <w:t xml:space="preserve">  </w:t>
            </w: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日</w:t>
            </w:r>
          </w:p>
        </w:tc>
      </w:tr>
    </w:tbl>
    <w:p w14:paraId="38AC549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Malgun Gothic Semilight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altName w:val="Malgun Gothic Semilight"/>
    <w:panose1 w:val="02000000000000000000"/>
    <w:charset w:val="00"/>
    <w:family w:val="auto"/>
    <w:pitch w:val="default"/>
    <w:sig w:usb0="00000000" w:usb1="00000000" w:usb2="00000012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BD52783">
    <w:panose1 w:val="020B0502040204020203"/>
    <w:charset w:val="86"/>
    <w:family w:val="auto"/>
    <w:pitch w:val="default"/>
    <w:sig w:usb0="00000001" w:usb1="00000000" w:usb2="00000000" w:usb3="00000000" w:csb0="00040001" w:csb1="00000000"/>
  </w:font>
  <w:font w:name="KSOF5BAF75D2">
    <w:panose1 w:val="020B0502040204020203"/>
    <w:charset w:val="86"/>
    <w:family w:val="auto"/>
    <w:pitch w:val="default"/>
    <w:sig w:usb0="00000001" w:usb1="00000000" w:usb2="0000000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976432"/>
    <w:rsid w:val="00475A3A"/>
    <w:rsid w:val="2CA91E3F"/>
    <w:rsid w:val="7C97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iPriority w:val="0"/>
    <w:rPr>
      <w:color w:val="0563C1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762</Words>
  <Characters>936</Characters>
  <Lines>0</Lines>
  <Paragraphs>0</Paragraphs>
  <TotalTime>8</TotalTime>
  <ScaleCrop>false</ScaleCrop>
  <LinksUpToDate>false</LinksUpToDate>
  <CharactersWithSpaces>1042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2026-04-14T03:04:00Z</dcterms:created>
  <dc:creator>刺猬的优雅</dc:creator>
  <cp:lastModifiedBy>刺猬的优雅</cp:lastModifiedBy>
  <dcterms:modified xsi:type="dcterms:W3CDTF">2026-04-15T02:05:34Z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2E09605B761D489C8D8160918C86F7D2_11</vt:lpwstr>
  </property>
  <property fmtid="{D5CDD505-2E9C-101B-9397-08002B2CF9AE}" pid="4" name="KSOTemplateDocerSaveRecord">
    <vt:lpwstr>eyJoZGlkIjoiZWMwMmU4MDI3MDE5OTY5MGM1OGY1Njg1ZWVjNDRhMzYiLCJ1c2VySWQiOiIyOTc3MTc4MDQifQ==</vt:lpwstr>
  </property>
</Properties>
</file>